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1FB6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0CA06EE0" w14:textId="77777777" w:rsidR="000615A0" w:rsidRDefault="00AC0B0A" w:rsidP="00AC0B0A">
      <w:pPr>
        <w:pStyle w:val="NoSpacing"/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1CA2E1E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4457E4DA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7AF362A0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661B8663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48FF8451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0D83F70A" w14:textId="77777777" w:rsidR="000615A0" w:rsidRDefault="000615A0" w:rsidP="00A443A5">
      <w:pPr>
        <w:pStyle w:val="NoSpacing"/>
        <w:rPr>
          <w:sz w:val="24"/>
          <w:szCs w:val="24"/>
        </w:rPr>
      </w:pPr>
    </w:p>
    <w:p w14:paraId="67FF6AA0" w14:textId="229D02F7" w:rsidR="00521A5C" w:rsidRDefault="00F813BC" w:rsidP="00F813BC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Job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08"/>
      </w:tblGrid>
      <w:tr w:rsidR="00F813BC" w14:paraId="790958C2" w14:textId="77777777" w:rsidTr="00F813BC">
        <w:tc>
          <w:tcPr>
            <w:tcW w:w="2405" w:type="dxa"/>
          </w:tcPr>
          <w:p w14:paraId="5422C5DB" w14:textId="4DF2E515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7508" w:type="dxa"/>
          </w:tcPr>
          <w:p w14:paraId="550D447D" w14:textId="321A755A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Worker</w:t>
            </w:r>
          </w:p>
        </w:tc>
      </w:tr>
      <w:tr w:rsidR="00F813BC" w14:paraId="7F0D63C4" w14:textId="77777777" w:rsidTr="00F813BC">
        <w:tc>
          <w:tcPr>
            <w:tcW w:w="2405" w:type="dxa"/>
          </w:tcPr>
          <w:p w14:paraId="769EF326" w14:textId="4B066D39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Hours</w:t>
            </w:r>
          </w:p>
        </w:tc>
        <w:tc>
          <w:tcPr>
            <w:tcW w:w="7508" w:type="dxa"/>
          </w:tcPr>
          <w:p w14:paraId="4AE2EF91" w14:textId="097B7CF6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hours per week</w:t>
            </w:r>
          </w:p>
        </w:tc>
      </w:tr>
      <w:tr w:rsidR="00F813BC" w14:paraId="2733B70B" w14:textId="77777777" w:rsidTr="00F813BC">
        <w:tc>
          <w:tcPr>
            <w:tcW w:w="2405" w:type="dxa"/>
          </w:tcPr>
          <w:p w14:paraId="3FB94B17" w14:textId="058EA224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Contract</w:t>
            </w:r>
          </w:p>
        </w:tc>
        <w:tc>
          <w:tcPr>
            <w:tcW w:w="7508" w:type="dxa"/>
          </w:tcPr>
          <w:p w14:paraId="428298FB" w14:textId="7E7D9DBE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Permanent</w:t>
            </w:r>
          </w:p>
        </w:tc>
      </w:tr>
      <w:tr w:rsidR="00F813BC" w14:paraId="65C3DC69" w14:textId="77777777" w:rsidTr="00F813BC">
        <w:tc>
          <w:tcPr>
            <w:tcW w:w="2405" w:type="dxa"/>
          </w:tcPr>
          <w:p w14:paraId="0601DD04" w14:textId="7AA2FDAC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508" w:type="dxa"/>
          </w:tcPr>
          <w:p w14:paraId="1088A8E4" w14:textId="2817150D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Bilborough, Nottingham (with occasional trips into the local community)</w:t>
            </w:r>
          </w:p>
        </w:tc>
      </w:tr>
      <w:tr w:rsidR="00F813BC" w14:paraId="25DE505C" w14:textId="77777777" w:rsidTr="00F813BC">
        <w:tc>
          <w:tcPr>
            <w:tcW w:w="2405" w:type="dxa"/>
          </w:tcPr>
          <w:p w14:paraId="25EBA115" w14:textId="682C4CBC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Salary</w:t>
            </w:r>
          </w:p>
        </w:tc>
        <w:tc>
          <w:tcPr>
            <w:tcW w:w="7508" w:type="dxa"/>
          </w:tcPr>
          <w:p w14:paraId="5B8F5C8C" w14:textId="5E01B0BA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£8,840 pa (full time equivalent 37.5 hours £16,575 pa)</w:t>
            </w:r>
          </w:p>
        </w:tc>
      </w:tr>
      <w:tr w:rsidR="00F813BC" w14:paraId="1EE6D17A" w14:textId="77777777" w:rsidTr="00F813BC">
        <w:tc>
          <w:tcPr>
            <w:tcW w:w="2405" w:type="dxa"/>
          </w:tcPr>
          <w:p w14:paraId="5CBDA9AB" w14:textId="314C69EF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Responsible to</w:t>
            </w:r>
          </w:p>
        </w:tc>
        <w:tc>
          <w:tcPr>
            <w:tcW w:w="7508" w:type="dxa"/>
          </w:tcPr>
          <w:p w14:paraId="13F983EC" w14:textId="77777777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Senior Support Workers</w:t>
            </w:r>
          </w:p>
          <w:p w14:paraId="7322F390" w14:textId="62F9608A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Services Manager</w:t>
            </w:r>
          </w:p>
        </w:tc>
      </w:tr>
      <w:tr w:rsidR="00F813BC" w14:paraId="1E4F13E7" w14:textId="77777777" w:rsidTr="00F813BC">
        <w:tc>
          <w:tcPr>
            <w:tcW w:w="2405" w:type="dxa"/>
          </w:tcPr>
          <w:p w14:paraId="17FEFA08" w14:textId="36C9A964" w:rsidR="00F813BC" w:rsidRPr="00F813BC" w:rsidRDefault="00F813BC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Summary</w:t>
            </w:r>
          </w:p>
        </w:tc>
        <w:tc>
          <w:tcPr>
            <w:tcW w:w="7508" w:type="dxa"/>
          </w:tcPr>
          <w:p w14:paraId="2BCACE0A" w14:textId="5322F551" w:rsidR="00F813BC" w:rsidRDefault="00F813BC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deliver professional, impartial and enabling support to clients living with the effects of brain injury who attend Headway Nottingham’s Day Service.  To provide</w:t>
            </w:r>
            <w:r w:rsidR="008D09B7">
              <w:rPr>
                <w:rFonts w:cstheme="minorHAnsi"/>
                <w:sz w:val="24"/>
                <w:szCs w:val="24"/>
              </w:rPr>
              <w:t xml:space="preserve"> respectful</w:t>
            </w:r>
            <w:r>
              <w:rPr>
                <w:rFonts w:cstheme="minorHAnsi"/>
                <w:sz w:val="24"/>
                <w:szCs w:val="24"/>
              </w:rPr>
              <w:t xml:space="preserve"> support </w:t>
            </w:r>
            <w:r w:rsidR="008D09B7">
              <w:rPr>
                <w:rFonts w:cstheme="minorHAnsi"/>
                <w:sz w:val="24"/>
                <w:szCs w:val="24"/>
              </w:rPr>
              <w:t>for clients with complex needs, that promotes their wellbeing, independence, self-esteem and dignity.</w:t>
            </w:r>
          </w:p>
        </w:tc>
      </w:tr>
    </w:tbl>
    <w:p w14:paraId="7C87800A" w14:textId="77777777" w:rsidR="00F813BC" w:rsidRPr="00F813BC" w:rsidRDefault="00F813BC" w:rsidP="00F813BC">
      <w:pPr>
        <w:pStyle w:val="NoSpacing"/>
        <w:rPr>
          <w:rFonts w:cstheme="minorHAnsi"/>
          <w:sz w:val="24"/>
          <w:szCs w:val="24"/>
        </w:rPr>
      </w:pPr>
    </w:p>
    <w:p w14:paraId="5FA97F76" w14:textId="053051FB" w:rsidR="00F813BC" w:rsidRDefault="00F813BC" w:rsidP="00F813BC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90665" w14:paraId="16E06E25" w14:textId="77777777" w:rsidTr="00A90665">
        <w:tc>
          <w:tcPr>
            <w:tcW w:w="9913" w:type="dxa"/>
          </w:tcPr>
          <w:p w14:paraId="0D6C82BE" w14:textId="6AE87797" w:rsidR="00A90665" w:rsidRPr="00A90665" w:rsidRDefault="00A90665" w:rsidP="00F813B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90665">
              <w:rPr>
                <w:rFonts w:cstheme="minorHAnsi"/>
                <w:b/>
                <w:sz w:val="24"/>
                <w:szCs w:val="24"/>
              </w:rPr>
              <w:t>Key Responsibilities</w:t>
            </w:r>
          </w:p>
        </w:tc>
      </w:tr>
      <w:tr w:rsidR="00A90665" w14:paraId="613FB838" w14:textId="77777777" w:rsidTr="00A90665">
        <w:tc>
          <w:tcPr>
            <w:tcW w:w="9913" w:type="dxa"/>
          </w:tcPr>
          <w:p w14:paraId="3AEE40FB" w14:textId="4A07FF68" w:rsidR="00A90665" w:rsidRDefault="00C631F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work under the direction of the Senior Support Workers and the Services Manager</w:t>
            </w:r>
            <w:r w:rsidR="00304239">
              <w:rPr>
                <w:rFonts w:cstheme="minorHAnsi"/>
                <w:sz w:val="24"/>
                <w:szCs w:val="24"/>
              </w:rPr>
              <w:t xml:space="preserve"> to deliver meaningful outcomes to those accessing the Service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04239" w14:paraId="307AB716" w14:textId="77777777" w:rsidTr="00A90665">
        <w:tc>
          <w:tcPr>
            <w:tcW w:w="9913" w:type="dxa"/>
          </w:tcPr>
          <w:p w14:paraId="49CBF4CA" w14:textId="3C23F202" w:rsidR="00304239" w:rsidRDefault="00304239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develop and deliver workshops and activities that enable clients to reach their identified goals and objectives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04239" w14:paraId="70270707" w14:textId="77777777" w:rsidTr="00A90665">
        <w:tc>
          <w:tcPr>
            <w:tcW w:w="9913" w:type="dxa"/>
          </w:tcPr>
          <w:p w14:paraId="5906ACFB" w14:textId="4E195021" w:rsidR="00304239" w:rsidRDefault="00304239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assist and motivate clients to participate in activities to improve self-esteem, encouraging them to learn compensatory strategies for overcoming difficulties related to their brain injury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04239" w14:paraId="0086A142" w14:textId="77777777" w:rsidTr="00A90665">
        <w:tc>
          <w:tcPr>
            <w:tcW w:w="9913" w:type="dxa"/>
          </w:tcPr>
          <w:p w14:paraId="6EB067AF" w14:textId="1A2C3779" w:rsidR="00304239" w:rsidRDefault="00304239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be involved in the preparation and delivery of hot meals provided to each client at lunchtime </w:t>
            </w:r>
          </w:p>
        </w:tc>
      </w:tr>
      <w:tr w:rsidR="00304239" w14:paraId="419F65D1" w14:textId="77777777" w:rsidTr="00A90665">
        <w:tc>
          <w:tcPr>
            <w:tcW w:w="9913" w:type="dxa"/>
          </w:tcPr>
          <w:p w14:paraId="456EAAE8" w14:textId="336F40E5" w:rsidR="00EE6BBD" w:rsidRDefault="00304239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keep accurate and relevant records</w:t>
            </w:r>
            <w:r w:rsidR="00EE6BBD">
              <w:rPr>
                <w:rFonts w:cstheme="minorHAnsi"/>
                <w:sz w:val="24"/>
                <w:szCs w:val="24"/>
              </w:rPr>
              <w:t xml:space="preserve"> whilst being aware and mindful of confidentiality and data protection regulations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E6BBD" w14:paraId="57A74CEB" w14:textId="77777777" w:rsidTr="00A90665">
        <w:tc>
          <w:tcPr>
            <w:tcW w:w="9913" w:type="dxa"/>
          </w:tcPr>
          <w:p w14:paraId="7B3FBFA0" w14:textId="0F7C6D06" w:rsidR="00EE6BBD" w:rsidRDefault="00EE6BBD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participate in “housekeeping” tasks to keep the day centre clean and hygienic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4A43" w14:paraId="2CF4AEF7" w14:textId="77777777" w:rsidTr="00A90665">
        <w:tc>
          <w:tcPr>
            <w:tcW w:w="9913" w:type="dxa"/>
          </w:tcPr>
          <w:p w14:paraId="242EA821" w14:textId="1840F825" w:rsidR="00904A43" w:rsidRDefault="00904A4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assist in the supervision of activities that take place away from the day centre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4A43" w14:paraId="17509A05" w14:textId="77777777" w:rsidTr="00A90665">
        <w:tc>
          <w:tcPr>
            <w:tcW w:w="9913" w:type="dxa"/>
          </w:tcPr>
          <w:p w14:paraId="7E582A02" w14:textId="67E6B1D4" w:rsidR="00904A43" w:rsidRDefault="00904A4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have regard </w:t>
            </w:r>
            <w:proofErr w:type="gramStart"/>
            <w:r>
              <w:rPr>
                <w:rFonts w:cstheme="minorHAnsi"/>
                <w:sz w:val="24"/>
                <w:szCs w:val="24"/>
              </w:rPr>
              <w:t>at all times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to the needs of the client, adopting a person-centred approach</w:t>
            </w:r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4A43" w14:paraId="15341BA4" w14:textId="77777777" w:rsidTr="00A90665">
        <w:tc>
          <w:tcPr>
            <w:tcW w:w="9913" w:type="dxa"/>
          </w:tcPr>
          <w:p w14:paraId="4FF56BC4" w14:textId="5B949F00" w:rsidR="00904A43" w:rsidRDefault="00904A4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adhere to Headway Nottingham’s policies and procedures regarding health and safety, data protection, and risk assessment.</w:t>
            </w:r>
          </w:p>
        </w:tc>
      </w:tr>
      <w:tr w:rsidR="00904A43" w14:paraId="77CB8407" w14:textId="77777777" w:rsidTr="00A90665">
        <w:tc>
          <w:tcPr>
            <w:tcW w:w="9913" w:type="dxa"/>
          </w:tcPr>
          <w:p w14:paraId="1C800EFB" w14:textId="14514ED3" w:rsidR="00904A43" w:rsidRDefault="00904A4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report any concerns to your colleagues and managers and be aware of safeguarding issues</w:t>
            </w:r>
            <w:r w:rsidR="00B3637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4A43" w14:paraId="752E8E82" w14:textId="77777777" w:rsidTr="00A90665">
        <w:tc>
          <w:tcPr>
            <w:tcW w:w="9913" w:type="dxa"/>
          </w:tcPr>
          <w:p w14:paraId="77258364" w14:textId="78080CF9" w:rsidR="00904A43" w:rsidRDefault="00904A4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assist in the monitoring of the efficacy of the </w:t>
            </w:r>
            <w:r w:rsidR="00457011">
              <w:rPr>
                <w:rFonts w:cstheme="minorHAnsi"/>
                <w:sz w:val="24"/>
                <w:szCs w:val="24"/>
              </w:rPr>
              <w:t>sessions/</w:t>
            </w:r>
            <w:r>
              <w:rPr>
                <w:rFonts w:cstheme="minorHAnsi"/>
                <w:sz w:val="24"/>
                <w:szCs w:val="24"/>
              </w:rPr>
              <w:t xml:space="preserve">activities and the </w:t>
            </w:r>
            <w:proofErr w:type="gramStart"/>
            <w:r>
              <w:rPr>
                <w:rFonts w:cstheme="minorHAnsi"/>
                <w:sz w:val="24"/>
                <w:szCs w:val="24"/>
              </w:rPr>
              <w:t>service as a whol</w:t>
            </w:r>
            <w:r w:rsidR="00F039F5">
              <w:rPr>
                <w:rFonts w:cstheme="minorHAnsi"/>
                <w:sz w:val="24"/>
                <w:szCs w:val="24"/>
              </w:rPr>
              <w:t>e</w:t>
            </w:r>
            <w:proofErr w:type="gramEnd"/>
            <w:r w:rsidR="00F039F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4A43" w14:paraId="1A5356FC" w14:textId="77777777" w:rsidTr="00A90665">
        <w:tc>
          <w:tcPr>
            <w:tcW w:w="9913" w:type="dxa"/>
          </w:tcPr>
          <w:p w14:paraId="4718B7E3" w14:textId="1788B4F9" w:rsidR="00904A43" w:rsidRDefault="001026AB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promote Headway Nottingham in a positive manner and to act within the boundaries of our core values and objectives.</w:t>
            </w:r>
          </w:p>
        </w:tc>
      </w:tr>
      <w:tr w:rsidR="00B36373" w14:paraId="6DE2E349" w14:textId="77777777" w:rsidTr="00A90665">
        <w:tc>
          <w:tcPr>
            <w:tcW w:w="9913" w:type="dxa"/>
          </w:tcPr>
          <w:p w14:paraId="60D1DB9C" w14:textId="47D6BE5A" w:rsidR="00B36373" w:rsidRDefault="00B36373" w:rsidP="00F813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Any other duties that may arise from time to time </w:t>
            </w:r>
            <w:proofErr w:type="gramStart"/>
            <w:r>
              <w:rPr>
                <w:rFonts w:cstheme="minorHAnsi"/>
                <w:sz w:val="24"/>
                <w:szCs w:val="24"/>
              </w:rPr>
              <w:t>in order 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ensure the smooth running of the organisation.</w:t>
            </w:r>
          </w:p>
        </w:tc>
      </w:tr>
    </w:tbl>
    <w:p w14:paraId="29C5AD40" w14:textId="0E49BD1D" w:rsidR="00A90665" w:rsidRDefault="00A90665" w:rsidP="00F813BC">
      <w:pPr>
        <w:pStyle w:val="NoSpacing"/>
        <w:rPr>
          <w:rFonts w:cstheme="minorHAnsi"/>
          <w:sz w:val="24"/>
          <w:szCs w:val="24"/>
        </w:rPr>
      </w:pPr>
    </w:p>
    <w:p w14:paraId="3DE8A773" w14:textId="4029340E" w:rsidR="00B36373" w:rsidRPr="00B36373" w:rsidRDefault="00B36373" w:rsidP="00F813B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job description</w:t>
      </w:r>
      <w:r w:rsidR="00B07B87">
        <w:rPr>
          <w:rFonts w:cstheme="minorHAnsi"/>
          <w:sz w:val="20"/>
          <w:szCs w:val="20"/>
        </w:rPr>
        <w:t xml:space="preserve"> sets out the main duties associated with this post.  It is assumed that </w:t>
      </w:r>
      <w:r w:rsidR="00B33C57">
        <w:rPr>
          <w:rFonts w:cstheme="minorHAnsi"/>
          <w:sz w:val="20"/>
          <w:szCs w:val="20"/>
        </w:rPr>
        <w:t xml:space="preserve">the </w:t>
      </w:r>
      <w:r w:rsidR="00B07B87">
        <w:rPr>
          <w:rFonts w:cstheme="minorHAnsi"/>
          <w:sz w:val="20"/>
          <w:szCs w:val="20"/>
        </w:rPr>
        <w:t xml:space="preserve">carrying out </w:t>
      </w:r>
      <w:r w:rsidR="00B33C57">
        <w:rPr>
          <w:rFonts w:cstheme="minorHAnsi"/>
          <w:sz w:val="20"/>
          <w:szCs w:val="20"/>
        </w:rPr>
        <w:t xml:space="preserve">of </w:t>
      </w:r>
      <w:r w:rsidR="00B07B87">
        <w:rPr>
          <w:rFonts w:cstheme="minorHAnsi"/>
          <w:sz w:val="20"/>
          <w:szCs w:val="20"/>
        </w:rPr>
        <w:t>additional duties from time to time are not excluded simply because they are not itemised.</w:t>
      </w:r>
      <w:r>
        <w:rPr>
          <w:rFonts w:cstheme="minorHAnsi"/>
          <w:sz w:val="20"/>
          <w:szCs w:val="20"/>
        </w:rPr>
        <w:t xml:space="preserve"> </w:t>
      </w:r>
      <w:r w:rsidR="00B07B87">
        <w:rPr>
          <w:rFonts w:cstheme="minorHAnsi"/>
          <w:sz w:val="20"/>
          <w:szCs w:val="20"/>
        </w:rPr>
        <w:t xml:space="preserve">  This description </w:t>
      </w:r>
      <w:r>
        <w:rPr>
          <w:rFonts w:cstheme="minorHAnsi"/>
          <w:sz w:val="20"/>
          <w:szCs w:val="20"/>
        </w:rPr>
        <w:t>is meant as a guide and may be subject to review and amendment in discussion with the post holder.</w:t>
      </w:r>
      <w:bookmarkStart w:id="0" w:name="_GoBack"/>
      <w:bookmarkEnd w:id="0"/>
    </w:p>
    <w:sectPr w:rsidR="00B36373" w:rsidRPr="00B36373" w:rsidSect="0077535B">
      <w:headerReference w:type="default" r:id="rId8"/>
      <w:footerReference w:type="default" r:id="rId9"/>
      <w:headerReference w:type="first" r:id="rId10"/>
      <w:footerReference w:type="first" r:id="rId11"/>
      <w:pgSz w:w="11902" w:h="16834"/>
      <w:pgMar w:top="-414" w:right="845" w:bottom="993" w:left="1134" w:header="568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037C" w14:textId="77777777" w:rsidR="009376E6" w:rsidRDefault="009376E6" w:rsidP="00195719">
      <w:pPr>
        <w:spacing w:after="0" w:line="240" w:lineRule="auto"/>
      </w:pPr>
      <w:r>
        <w:separator/>
      </w:r>
    </w:p>
  </w:endnote>
  <w:endnote w:type="continuationSeparator" w:id="0">
    <w:p w14:paraId="474D339C" w14:textId="77777777" w:rsidR="009376E6" w:rsidRDefault="009376E6" w:rsidP="0019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4CA0" w14:textId="77777777" w:rsidR="00585B3E" w:rsidRPr="008A1101" w:rsidRDefault="00585B3E" w:rsidP="00195719">
    <w:pPr>
      <w:pStyle w:val="Footer"/>
      <w:jc w:val="center"/>
      <w:rPr>
        <w:rFonts w:ascii="Century Gothic" w:hAnsi="Century Gothic"/>
        <w:b/>
        <w:noProof/>
        <w:color w:val="33CCCC"/>
        <w:sz w:val="28"/>
        <w:szCs w:val="28"/>
      </w:rPr>
    </w:pPr>
    <w:bookmarkStart w:id="1" w:name="_Hlk507417476"/>
    <w:bookmarkStart w:id="2" w:name="_Hlk507417477"/>
    <w:r w:rsidRPr="008A1101">
      <w:rPr>
        <w:rFonts w:ascii="Century Gothic" w:hAnsi="Century Gothic"/>
        <w:b/>
        <w:noProof/>
        <w:color w:val="33CCCC"/>
        <w:sz w:val="28"/>
        <w:szCs w:val="28"/>
      </w:rPr>
      <w:t xml:space="preserve">A life with a brain injury is still a life </w:t>
    </w:r>
  </w:p>
  <w:p w14:paraId="2BA5859F" w14:textId="77777777" w:rsidR="00585B3E" w:rsidRPr="004F0F82" w:rsidRDefault="00585B3E" w:rsidP="00195719">
    <w:pPr>
      <w:pStyle w:val="Footer"/>
      <w:jc w:val="center"/>
      <w:rPr>
        <w:rFonts w:ascii="Century Gothic" w:hAnsi="Century Gothic"/>
        <w:noProof/>
        <w:color w:val="33CCCC"/>
        <w:sz w:val="18"/>
        <w:szCs w:val="18"/>
      </w:rPr>
    </w:pPr>
    <w:r w:rsidRPr="004F0F82">
      <w:rPr>
        <w:rFonts w:ascii="Century Gothic" w:hAnsi="Century Gothic"/>
        <w:noProof/>
        <w:color w:val="33CCCC"/>
        <w:sz w:val="18"/>
        <w:szCs w:val="18"/>
      </w:rPr>
      <w:t xml:space="preserve">Headway Nottingham </w:t>
    </w:r>
    <w:r>
      <w:rPr>
        <w:rFonts w:ascii="Century Gothic" w:hAnsi="Century Gothic"/>
        <w:noProof/>
        <w:color w:val="33CCCC"/>
        <w:sz w:val="18"/>
        <w:szCs w:val="18"/>
      </w:rPr>
      <w:t>is</w:t>
    </w:r>
    <w:r w:rsidRPr="004F0F82">
      <w:rPr>
        <w:rFonts w:ascii="Century Gothic" w:hAnsi="Century Gothic"/>
        <w:noProof/>
        <w:color w:val="33CCCC"/>
        <w:sz w:val="18"/>
        <w:szCs w:val="18"/>
      </w:rPr>
      <w:t xml:space="preserve"> </w:t>
    </w:r>
    <w:r>
      <w:rPr>
        <w:rFonts w:ascii="Century Gothic" w:hAnsi="Century Gothic"/>
        <w:noProof/>
        <w:color w:val="33CCCC"/>
        <w:sz w:val="18"/>
        <w:szCs w:val="18"/>
      </w:rPr>
      <w:t xml:space="preserve">registered with the Charities Commission of England and Wales, No. </w:t>
    </w:r>
    <w:r w:rsidRPr="004F0F82">
      <w:rPr>
        <w:rFonts w:ascii="Century Gothic" w:hAnsi="Century Gothic"/>
        <w:noProof/>
        <w:color w:val="33CCCC"/>
        <w:sz w:val="18"/>
        <w:szCs w:val="18"/>
      </w:rPr>
      <w:t>1088685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36B9" w14:textId="77777777" w:rsidR="00DF168D" w:rsidRPr="008A1101" w:rsidRDefault="00DF168D" w:rsidP="00DF168D">
    <w:pPr>
      <w:pStyle w:val="Footer"/>
      <w:jc w:val="center"/>
      <w:rPr>
        <w:rFonts w:ascii="Century Gothic" w:hAnsi="Century Gothic"/>
        <w:b/>
        <w:noProof/>
        <w:color w:val="33CCCC"/>
        <w:sz w:val="28"/>
        <w:szCs w:val="28"/>
      </w:rPr>
    </w:pPr>
    <w:r w:rsidRPr="008A1101">
      <w:rPr>
        <w:rFonts w:ascii="Century Gothic" w:hAnsi="Century Gothic"/>
        <w:b/>
        <w:noProof/>
        <w:color w:val="33CCCC"/>
        <w:sz w:val="28"/>
        <w:szCs w:val="28"/>
      </w:rPr>
      <w:t xml:space="preserve">A life with a brain injury is still a life </w:t>
    </w:r>
  </w:p>
  <w:p w14:paraId="13B528E2" w14:textId="77777777" w:rsidR="00DF168D" w:rsidRPr="004F1BB7" w:rsidRDefault="00DF168D" w:rsidP="00DF168D">
    <w:pPr>
      <w:pStyle w:val="Footer"/>
      <w:jc w:val="center"/>
      <w:rPr>
        <w:rFonts w:ascii="Century Gothic" w:hAnsi="Century Gothic"/>
        <w:noProof/>
        <w:color w:val="33CCCC"/>
        <w:sz w:val="18"/>
        <w:szCs w:val="18"/>
      </w:rPr>
    </w:pPr>
    <w:r w:rsidRPr="004F1BB7">
      <w:rPr>
        <w:rFonts w:ascii="Century Gothic" w:hAnsi="Century Gothic"/>
        <w:noProof/>
        <w:color w:val="33CCCC"/>
        <w:sz w:val="18"/>
        <w:szCs w:val="18"/>
      </w:rPr>
      <w:t>Headway Nottingham is registered with the Charities Commission of England and Wales, No. 1088685</w:t>
    </w:r>
  </w:p>
  <w:p w14:paraId="27EE1921" w14:textId="77777777" w:rsidR="004F1BB7" w:rsidRDefault="004F1BB7" w:rsidP="00DF168D">
    <w:pPr>
      <w:pStyle w:val="Footer"/>
      <w:jc w:val="center"/>
      <w:rPr>
        <w:rFonts w:ascii="Century Gothic" w:hAnsi="Century Gothic"/>
        <w:noProof/>
        <w:color w:val="33CCCC"/>
        <w:sz w:val="18"/>
        <w:szCs w:val="18"/>
      </w:rPr>
    </w:pPr>
    <w:r>
      <w:rPr>
        <w:rFonts w:ascii="Century Gothic" w:hAnsi="Century Gothic"/>
        <w:noProof/>
        <w:color w:val="33CCCC"/>
        <w:sz w:val="18"/>
        <w:szCs w:val="18"/>
      </w:rPr>
      <w:t>Company Limited by Guarantee, Registered in England No. 04161891</w:t>
    </w:r>
  </w:p>
  <w:p w14:paraId="7446D536" w14:textId="77777777" w:rsidR="004F1BB7" w:rsidRDefault="004F1BB7" w:rsidP="004F1BB7">
    <w:pPr>
      <w:pStyle w:val="Footer"/>
      <w:ind w:firstLine="720"/>
      <w:jc w:val="center"/>
      <w:rPr>
        <w:rFonts w:ascii="Century Gothic" w:hAnsi="Century Gothic"/>
        <w:noProof/>
        <w:color w:val="767171" w:themeColor="background2" w:themeShade="80"/>
        <w:sz w:val="16"/>
        <w:szCs w:val="16"/>
      </w:rPr>
    </w:pPr>
    <w:r w:rsidRPr="004F1BB7">
      <w:rPr>
        <w:rFonts w:ascii="Century Gothic" w:hAnsi="Century Gothic"/>
        <w:noProof/>
        <w:color w:val="auto"/>
        <w:sz w:val="18"/>
        <w:szCs w:val="18"/>
      </w:rPr>
      <w:drawing>
        <wp:anchor distT="0" distB="0" distL="114300" distR="114300" simplePos="0" relativeHeight="251658240" behindDoc="0" locked="0" layoutInCell="1" allowOverlap="1" wp14:anchorId="5C9FBC60" wp14:editId="770A9A9E">
          <wp:simplePos x="0" y="0"/>
          <wp:positionH relativeFrom="margin">
            <wp:posOffset>5952800</wp:posOffset>
          </wp:positionH>
          <wp:positionV relativeFrom="margin">
            <wp:posOffset>10046335</wp:posOffset>
          </wp:positionV>
          <wp:extent cx="301625" cy="233680"/>
          <wp:effectExtent l="0" t="0" r="317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way UK centre alig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25" cy="23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6E6ABB" w14:textId="77777777" w:rsidR="00521A5C" w:rsidRPr="004F1BB7" w:rsidRDefault="00521A5C" w:rsidP="004F1BB7">
    <w:pPr>
      <w:pStyle w:val="Footer"/>
      <w:ind w:firstLine="720"/>
      <w:jc w:val="center"/>
      <w:rPr>
        <w:rFonts w:ascii="Century Gothic" w:hAnsi="Century Gothic"/>
        <w:noProof/>
        <w:color w:val="767171" w:themeColor="background2" w:themeShade="80"/>
        <w:sz w:val="16"/>
        <w:szCs w:val="16"/>
      </w:rPr>
    </w:pPr>
    <w:r w:rsidRPr="004F1BB7">
      <w:rPr>
        <w:rFonts w:ascii="Century Gothic" w:hAnsi="Century Gothic"/>
        <w:noProof/>
        <w:color w:val="767171" w:themeColor="background2" w:themeShade="80"/>
        <w:sz w:val="16"/>
        <w:szCs w:val="16"/>
      </w:rPr>
      <w:t xml:space="preserve">Headway Nottingham is affiliated to </w:t>
    </w:r>
    <w:r w:rsidR="004F1BB7" w:rsidRPr="004F1BB7">
      <w:rPr>
        <w:rFonts w:ascii="Century Gothic" w:hAnsi="Century Gothic"/>
        <w:noProof/>
        <w:color w:val="767171" w:themeColor="background2" w:themeShade="80"/>
        <w:sz w:val="16"/>
        <w:szCs w:val="16"/>
      </w:rPr>
      <w:t>Headway – the brain injury association, Registered Charity No. 1025852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60C1" w14:textId="77777777" w:rsidR="009376E6" w:rsidRDefault="009376E6" w:rsidP="00195719">
      <w:pPr>
        <w:spacing w:after="0" w:line="240" w:lineRule="auto"/>
      </w:pPr>
      <w:r>
        <w:separator/>
      </w:r>
    </w:p>
  </w:footnote>
  <w:footnote w:type="continuationSeparator" w:id="0">
    <w:p w14:paraId="46EDF710" w14:textId="77777777" w:rsidR="009376E6" w:rsidRDefault="009376E6" w:rsidP="0019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7FA6" w14:textId="77777777" w:rsidR="00DF168D" w:rsidRDefault="00DF168D">
    <w:pPr>
      <w:pStyle w:val="Header"/>
    </w:pPr>
  </w:p>
  <w:p w14:paraId="15D4FAD1" w14:textId="77777777" w:rsidR="00DF168D" w:rsidRDefault="00DF1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7802"/>
    </w:tblGrid>
    <w:tr w:rsidR="00521A5C" w14:paraId="3C936C3A" w14:textId="77777777" w:rsidTr="004F1BB7">
      <w:trPr>
        <w:trHeight w:val="1837"/>
      </w:trPr>
      <w:tc>
        <w:tcPr>
          <w:tcW w:w="2405" w:type="dxa"/>
        </w:tcPr>
        <w:p w14:paraId="18295B36" w14:textId="77777777" w:rsidR="00DF168D" w:rsidRPr="005F4A32" w:rsidRDefault="00AC0B0A" w:rsidP="00DF168D">
          <w:pPr>
            <w:pStyle w:val="Header"/>
            <w:rPr>
              <w:rFonts w:ascii="Century Gothic" w:hAnsi="Century Gothic"/>
              <w:b/>
              <w:color w:val="33CCCC"/>
              <w:sz w:val="4"/>
              <w:szCs w:val="4"/>
            </w:rPr>
          </w:pPr>
          <w:r>
            <w:rPr>
              <w:rFonts w:ascii="Century Gothic" w:hAnsi="Century Gothic"/>
              <w:b/>
              <w:noProof/>
              <w:color w:val="33CCCC"/>
              <w:sz w:val="4"/>
              <w:szCs w:val="4"/>
            </w:rPr>
            <w:drawing>
              <wp:inline distT="0" distB="0" distL="0" distR="0" wp14:anchorId="620B2B78" wp14:editId="241211D8">
                <wp:extent cx="933450" cy="1139677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lourfulBra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042" cy="1163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</w:tcPr>
        <w:p w14:paraId="059CEE07" w14:textId="77777777" w:rsidR="00DF168D" w:rsidRPr="00AC0B0A" w:rsidRDefault="00DF168D" w:rsidP="00DF168D">
          <w:pPr>
            <w:pStyle w:val="Header"/>
            <w:jc w:val="right"/>
            <w:rPr>
              <w:rFonts w:ascii="Century Gothic" w:hAnsi="Century Gothic"/>
              <w:b/>
              <w:color w:val="33CCCC"/>
              <w:sz w:val="40"/>
              <w:szCs w:val="40"/>
            </w:rPr>
          </w:pPr>
          <w:r w:rsidRPr="00AC0B0A">
            <w:rPr>
              <w:rFonts w:ascii="Century Gothic" w:hAnsi="Century Gothic"/>
              <w:b/>
              <w:color w:val="33CCCC"/>
              <w:sz w:val="40"/>
              <w:szCs w:val="40"/>
            </w:rPr>
            <w:t xml:space="preserve">Headway Nottingham </w:t>
          </w:r>
        </w:p>
        <w:p w14:paraId="706439FD" w14:textId="77777777" w:rsidR="00DF168D" w:rsidRPr="008A1101" w:rsidRDefault="00DF168D" w:rsidP="00DF168D">
          <w:pPr>
            <w:pStyle w:val="Header"/>
            <w:jc w:val="right"/>
            <w:rPr>
              <w:rFonts w:ascii="Century Gothic" w:hAnsi="Century Gothic"/>
              <w:color w:val="33CCCC"/>
              <w:sz w:val="24"/>
              <w:szCs w:val="24"/>
            </w:rPr>
          </w:pPr>
          <w:r w:rsidRPr="008A1101">
            <w:rPr>
              <w:rFonts w:ascii="Century Gothic" w:hAnsi="Century Gothic"/>
              <w:color w:val="33CCCC"/>
              <w:sz w:val="24"/>
              <w:szCs w:val="24"/>
            </w:rPr>
            <w:t>11 St Agnes Close, Bilborough, Nottingham, NG8 4BJ</w:t>
          </w:r>
        </w:p>
        <w:p w14:paraId="501188A2" w14:textId="77777777" w:rsidR="00DF168D" w:rsidRPr="004F0F82" w:rsidRDefault="00DF168D" w:rsidP="00DF168D">
          <w:pPr>
            <w:pStyle w:val="Header"/>
            <w:jc w:val="right"/>
            <w:rPr>
              <w:rFonts w:ascii="Century Gothic" w:hAnsi="Century Gothic"/>
              <w:color w:val="33CCCC"/>
            </w:rPr>
          </w:pPr>
          <w:r w:rsidRPr="008A1101">
            <w:rPr>
              <w:rFonts w:ascii="Century Gothic" w:hAnsi="Century Gothic"/>
              <w:color w:val="33CCCC"/>
              <w:sz w:val="24"/>
              <w:szCs w:val="24"/>
            </w:rPr>
            <w:t>0115 9679669</w:t>
          </w:r>
        </w:p>
        <w:p w14:paraId="4BB39414" w14:textId="77777777" w:rsidR="00DF168D" w:rsidRDefault="00DF168D" w:rsidP="00DF168D">
          <w:pPr>
            <w:pStyle w:val="Header"/>
            <w:jc w:val="right"/>
            <w:rPr>
              <w:rFonts w:ascii="Century Gothic" w:hAnsi="Century Gothic"/>
              <w:b/>
              <w:color w:val="33CCCC"/>
            </w:rPr>
          </w:pPr>
        </w:p>
        <w:p w14:paraId="4344AC51" w14:textId="77777777" w:rsidR="00DF168D" w:rsidRPr="00AC0B0A" w:rsidRDefault="00AC0B0A" w:rsidP="00DF168D">
          <w:pPr>
            <w:pStyle w:val="Header"/>
            <w:jc w:val="right"/>
            <w:rPr>
              <w:rFonts w:ascii="Century Gothic" w:hAnsi="Century Gothic"/>
              <w:b/>
              <w:color w:val="33CCCC"/>
              <w:sz w:val="28"/>
              <w:szCs w:val="28"/>
            </w:rPr>
          </w:pPr>
          <w:r w:rsidRPr="00AC0B0A">
            <w:rPr>
              <w:rFonts w:ascii="Century Gothic" w:hAnsi="Century Gothic"/>
              <w:b/>
              <w:color w:val="33CCCC"/>
              <w:sz w:val="28"/>
              <w:szCs w:val="28"/>
            </w:rPr>
            <w:t xml:space="preserve">www.headwaynottingham.org.uk </w:t>
          </w:r>
        </w:p>
      </w:tc>
    </w:tr>
  </w:tbl>
  <w:p w14:paraId="7EABCDE0" w14:textId="77777777" w:rsidR="00DF168D" w:rsidRDefault="00DF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9361D"/>
    <w:multiLevelType w:val="hybridMultilevel"/>
    <w:tmpl w:val="6076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9283D"/>
    <w:multiLevelType w:val="hybridMultilevel"/>
    <w:tmpl w:val="E1CCC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BB"/>
    <w:rsid w:val="00003F50"/>
    <w:rsid w:val="0001592D"/>
    <w:rsid w:val="0004080C"/>
    <w:rsid w:val="00041FE2"/>
    <w:rsid w:val="00042E16"/>
    <w:rsid w:val="00045CF2"/>
    <w:rsid w:val="0006118E"/>
    <w:rsid w:val="000615A0"/>
    <w:rsid w:val="000627B8"/>
    <w:rsid w:val="000C5227"/>
    <w:rsid w:val="001026AB"/>
    <w:rsid w:val="001066B0"/>
    <w:rsid w:val="00125B7E"/>
    <w:rsid w:val="0013527C"/>
    <w:rsid w:val="00147D2D"/>
    <w:rsid w:val="0015139B"/>
    <w:rsid w:val="00195719"/>
    <w:rsid w:val="001B0512"/>
    <w:rsid w:val="001D2C06"/>
    <w:rsid w:val="001D64D6"/>
    <w:rsid w:val="001E2A31"/>
    <w:rsid w:val="001F7D64"/>
    <w:rsid w:val="00202483"/>
    <w:rsid w:val="002129B6"/>
    <w:rsid w:val="00216ABF"/>
    <w:rsid w:val="00220312"/>
    <w:rsid w:val="0023780D"/>
    <w:rsid w:val="00244CF0"/>
    <w:rsid w:val="00255F02"/>
    <w:rsid w:val="0026500F"/>
    <w:rsid w:val="0027614E"/>
    <w:rsid w:val="00291B58"/>
    <w:rsid w:val="002A370C"/>
    <w:rsid w:val="002D2D32"/>
    <w:rsid w:val="002F665C"/>
    <w:rsid w:val="00304239"/>
    <w:rsid w:val="0031676B"/>
    <w:rsid w:val="00343EE1"/>
    <w:rsid w:val="003A2E11"/>
    <w:rsid w:val="003E2227"/>
    <w:rsid w:val="003E34CC"/>
    <w:rsid w:val="003E5CE1"/>
    <w:rsid w:val="004017B2"/>
    <w:rsid w:val="00403DC2"/>
    <w:rsid w:val="00415D6E"/>
    <w:rsid w:val="00426908"/>
    <w:rsid w:val="00437876"/>
    <w:rsid w:val="00457011"/>
    <w:rsid w:val="004964AC"/>
    <w:rsid w:val="004A477E"/>
    <w:rsid w:val="004B686B"/>
    <w:rsid w:val="004C298D"/>
    <w:rsid w:val="004F0F82"/>
    <w:rsid w:val="004F1BB7"/>
    <w:rsid w:val="00510A06"/>
    <w:rsid w:val="0052182B"/>
    <w:rsid w:val="00521A5C"/>
    <w:rsid w:val="0054373C"/>
    <w:rsid w:val="005445B5"/>
    <w:rsid w:val="00557FCD"/>
    <w:rsid w:val="00585B3E"/>
    <w:rsid w:val="005A3975"/>
    <w:rsid w:val="005B3E67"/>
    <w:rsid w:val="005F4198"/>
    <w:rsid w:val="005F4A32"/>
    <w:rsid w:val="006152D7"/>
    <w:rsid w:val="0063068C"/>
    <w:rsid w:val="006901ED"/>
    <w:rsid w:val="006A5CC3"/>
    <w:rsid w:val="006B77C0"/>
    <w:rsid w:val="006C132F"/>
    <w:rsid w:val="006C5411"/>
    <w:rsid w:val="006D350C"/>
    <w:rsid w:val="006E21CB"/>
    <w:rsid w:val="006E23C2"/>
    <w:rsid w:val="0071151D"/>
    <w:rsid w:val="00721635"/>
    <w:rsid w:val="00734B7D"/>
    <w:rsid w:val="00747D15"/>
    <w:rsid w:val="0075038B"/>
    <w:rsid w:val="00750D08"/>
    <w:rsid w:val="0075439D"/>
    <w:rsid w:val="0077535B"/>
    <w:rsid w:val="007937B3"/>
    <w:rsid w:val="007A1D00"/>
    <w:rsid w:val="007A38CB"/>
    <w:rsid w:val="007A3E0F"/>
    <w:rsid w:val="007C0E8D"/>
    <w:rsid w:val="007C1864"/>
    <w:rsid w:val="007C1FF6"/>
    <w:rsid w:val="007E6101"/>
    <w:rsid w:val="007F5EBB"/>
    <w:rsid w:val="00813A05"/>
    <w:rsid w:val="008342D7"/>
    <w:rsid w:val="00836109"/>
    <w:rsid w:val="00840933"/>
    <w:rsid w:val="00845BD6"/>
    <w:rsid w:val="00852EC3"/>
    <w:rsid w:val="00857086"/>
    <w:rsid w:val="00857838"/>
    <w:rsid w:val="00863AA9"/>
    <w:rsid w:val="00882AE7"/>
    <w:rsid w:val="008916E6"/>
    <w:rsid w:val="00891BF2"/>
    <w:rsid w:val="008937A8"/>
    <w:rsid w:val="008A1101"/>
    <w:rsid w:val="008D09B7"/>
    <w:rsid w:val="008D621E"/>
    <w:rsid w:val="008F10C0"/>
    <w:rsid w:val="008F6867"/>
    <w:rsid w:val="00904A43"/>
    <w:rsid w:val="00935345"/>
    <w:rsid w:val="009368AA"/>
    <w:rsid w:val="009376E6"/>
    <w:rsid w:val="0096327D"/>
    <w:rsid w:val="009941FD"/>
    <w:rsid w:val="00996E5B"/>
    <w:rsid w:val="009A4B96"/>
    <w:rsid w:val="009B7C71"/>
    <w:rsid w:val="00A03714"/>
    <w:rsid w:val="00A110E9"/>
    <w:rsid w:val="00A27DBA"/>
    <w:rsid w:val="00A3064A"/>
    <w:rsid w:val="00A321B2"/>
    <w:rsid w:val="00A36D52"/>
    <w:rsid w:val="00A443A5"/>
    <w:rsid w:val="00A45356"/>
    <w:rsid w:val="00A46BD4"/>
    <w:rsid w:val="00A63299"/>
    <w:rsid w:val="00A64094"/>
    <w:rsid w:val="00A73CC2"/>
    <w:rsid w:val="00A90665"/>
    <w:rsid w:val="00A96C5B"/>
    <w:rsid w:val="00AB246E"/>
    <w:rsid w:val="00AC0B0A"/>
    <w:rsid w:val="00AE2A63"/>
    <w:rsid w:val="00AE71D5"/>
    <w:rsid w:val="00AF1000"/>
    <w:rsid w:val="00AF2183"/>
    <w:rsid w:val="00AF3B15"/>
    <w:rsid w:val="00B0343A"/>
    <w:rsid w:val="00B07B87"/>
    <w:rsid w:val="00B1058A"/>
    <w:rsid w:val="00B27424"/>
    <w:rsid w:val="00B33C57"/>
    <w:rsid w:val="00B36373"/>
    <w:rsid w:val="00B378E0"/>
    <w:rsid w:val="00B66282"/>
    <w:rsid w:val="00B679E6"/>
    <w:rsid w:val="00B87B37"/>
    <w:rsid w:val="00B92BE1"/>
    <w:rsid w:val="00B92C95"/>
    <w:rsid w:val="00B96306"/>
    <w:rsid w:val="00BA194E"/>
    <w:rsid w:val="00BA798D"/>
    <w:rsid w:val="00C00E16"/>
    <w:rsid w:val="00C02741"/>
    <w:rsid w:val="00C04ACD"/>
    <w:rsid w:val="00C1016B"/>
    <w:rsid w:val="00C10481"/>
    <w:rsid w:val="00C10958"/>
    <w:rsid w:val="00C16255"/>
    <w:rsid w:val="00C42B96"/>
    <w:rsid w:val="00C5645A"/>
    <w:rsid w:val="00C61DC8"/>
    <w:rsid w:val="00C631F3"/>
    <w:rsid w:val="00C813AC"/>
    <w:rsid w:val="00C87030"/>
    <w:rsid w:val="00CB09A5"/>
    <w:rsid w:val="00CB46C8"/>
    <w:rsid w:val="00CE6997"/>
    <w:rsid w:val="00D15F05"/>
    <w:rsid w:val="00D34162"/>
    <w:rsid w:val="00D4614C"/>
    <w:rsid w:val="00D527C8"/>
    <w:rsid w:val="00D532B2"/>
    <w:rsid w:val="00D67474"/>
    <w:rsid w:val="00D8426C"/>
    <w:rsid w:val="00D86CA7"/>
    <w:rsid w:val="00DB3690"/>
    <w:rsid w:val="00DD2363"/>
    <w:rsid w:val="00DD4E63"/>
    <w:rsid w:val="00DD60A9"/>
    <w:rsid w:val="00DE5817"/>
    <w:rsid w:val="00DF168D"/>
    <w:rsid w:val="00DF58F5"/>
    <w:rsid w:val="00E017BB"/>
    <w:rsid w:val="00E01EA7"/>
    <w:rsid w:val="00E06BF4"/>
    <w:rsid w:val="00E07A3D"/>
    <w:rsid w:val="00E13F9D"/>
    <w:rsid w:val="00E167C5"/>
    <w:rsid w:val="00E62C44"/>
    <w:rsid w:val="00E71555"/>
    <w:rsid w:val="00E738FB"/>
    <w:rsid w:val="00E9778F"/>
    <w:rsid w:val="00EC5496"/>
    <w:rsid w:val="00EC70A0"/>
    <w:rsid w:val="00ED2998"/>
    <w:rsid w:val="00ED6DEC"/>
    <w:rsid w:val="00EE1E3B"/>
    <w:rsid w:val="00EE6BBD"/>
    <w:rsid w:val="00F039F5"/>
    <w:rsid w:val="00F10588"/>
    <w:rsid w:val="00F14904"/>
    <w:rsid w:val="00F36C90"/>
    <w:rsid w:val="00F543D7"/>
    <w:rsid w:val="00F65BDD"/>
    <w:rsid w:val="00F70AFD"/>
    <w:rsid w:val="00F813BC"/>
    <w:rsid w:val="00FA3E1E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4EDB81"/>
  <w15:docId w15:val="{46EA4F13-724D-4EFC-87A9-A9ECD14D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1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1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rsid w:val="007C18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86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E01EA7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8A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7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62A2-E878-4BB7-BF25-90DED01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Tansley - Thomas</dc:creator>
  <cp:keywords/>
  <dc:description/>
  <cp:lastModifiedBy>Charlotte Leask</cp:lastModifiedBy>
  <cp:revision>3</cp:revision>
  <cp:lastPrinted>2018-06-20T10:20:00Z</cp:lastPrinted>
  <dcterms:created xsi:type="dcterms:W3CDTF">2018-07-18T14:13:00Z</dcterms:created>
  <dcterms:modified xsi:type="dcterms:W3CDTF">2018-07-18T14:25:00Z</dcterms:modified>
</cp:coreProperties>
</file>